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2FD0F" w14:textId="77777777" w:rsidR="00941D52" w:rsidRPr="00C2522E" w:rsidRDefault="00941D52">
      <w:pPr>
        <w:rPr>
          <w:rFonts w:ascii="Times New Roman" w:hAnsi="Times New Roman" w:cs="Times New Roman"/>
          <w:b/>
          <w:sz w:val="28"/>
          <w:szCs w:val="28"/>
        </w:rPr>
      </w:pPr>
    </w:p>
    <w:p w14:paraId="64A3213B" w14:textId="77777777" w:rsidR="006C7A6E" w:rsidRPr="000A1B3D" w:rsidRDefault="006C7A6E">
      <w:pPr>
        <w:rPr>
          <w:rFonts w:ascii="Times New Roman" w:hAnsi="Times New Roman" w:cs="Times New Roman"/>
          <w:sz w:val="24"/>
          <w:szCs w:val="24"/>
        </w:rPr>
      </w:pPr>
      <w:r w:rsidRPr="000A1B3D">
        <w:rPr>
          <w:rFonts w:ascii="Times New Roman" w:hAnsi="Times New Roman" w:cs="Times New Roman"/>
          <w:sz w:val="24"/>
          <w:szCs w:val="24"/>
        </w:rPr>
        <w:t xml:space="preserve">Ideally, the alternative care space is staffed with a Registered Nurse and Patient Care Technician consistent for the </w:t>
      </w:r>
      <w:r w:rsidR="003D3302" w:rsidRPr="000A1B3D">
        <w:rPr>
          <w:rFonts w:ascii="Times New Roman" w:hAnsi="Times New Roman" w:cs="Times New Roman"/>
          <w:sz w:val="24"/>
          <w:szCs w:val="24"/>
        </w:rPr>
        <w:t xml:space="preserve">number of patients receiving </w:t>
      </w:r>
      <w:proofErr w:type="spellStart"/>
      <w:r w:rsidR="003D3302" w:rsidRPr="000A1B3D">
        <w:rPr>
          <w:rFonts w:ascii="Times New Roman" w:hAnsi="Times New Roman" w:cs="Times New Roman"/>
          <w:sz w:val="24"/>
          <w:szCs w:val="24"/>
        </w:rPr>
        <w:t>mAb</w:t>
      </w:r>
      <w:proofErr w:type="spellEnd"/>
      <w:r w:rsidRPr="000A1B3D">
        <w:rPr>
          <w:rFonts w:ascii="Times New Roman" w:hAnsi="Times New Roman" w:cs="Times New Roman"/>
          <w:sz w:val="24"/>
          <w:szCs w:val="24"/>
        </w:rPr>
        <w:t xml:space="preserve"> administration. Access to ACLS services and appropriate resuscitation equipment must remain imminently available throughout </w:t>
      </w:r>
      <w:proofErr w:type="spellStart"/>
      <w:r w:rsidRPr="000A1B3D">
        <w:rPr>
          <w:rFonts w:ascii="Times New Roman" w:hAnsi="Times New Roman" w:cs="Times New Roman"/>
          <w:sz w:val="24"/>
          <w:szCs w:val="24"/>
        </w:rPr>
        <w:t>mAb</w:t>
      </w:r>
      <w:proofErr w:type="spellEnd"/>
      <w:r w:rsidRPr="000A1B3D">
        <w:rPr>
          <w:rFonts w:ascii="Times New Roman" w:hAnsi="Times New Roman" w:cs="Times New Roman"/>
          <w:sz w:val="24"/>
          <w:szCs w:val="24"/>
        </w:rPr>
        <w:t xml:space="preserve"> administration and subsequent monitoring. In addition, it is </w:t>
      </w:r>
      <w:r w:rsidR="003D3302" w:rsidRPr="000A1B3D">
        <w:rPr>
          <w:rFonts w:ascii="Times New Roman" w:hAnsi="Times New Roman" w:cs="Times New Roman"/>
          <w:sz w:val="24"/>
          <w:szCs w:val="24"/>
        </w:rPr>
        <w:t>ideal for an advanced practice provider to be imminently available in the event of medication reaction or other associated complication.</w:t>
      </w:r>
    </w:p>
    <w:p w14:paraId="613ECD24" w14:textId="77777777" w:rsidR="003D3302" w:rsidRPr="000A1B3D" w:rsidRDefault="003D3302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Hlk66264469"/>
      <w:r w:rsidRPr="000A1B3D">
        <w:rPr>
          <w:rFonts w:ascii="Times New Roman" w:hAnsi="Times New Roman" w:cs="Times New Roman"/>
          <w:i/>
          <w:sz w:val="24"/>
          <w:szCs w:val="24"/>
        </w:rPr>
        <w:t>**RN/LPN/PCT practices are based on State Board of Nursing/Board of Health guidance**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95"/>
        <w:gridCol w:w="2970"/>
        <w:gridCol w:w="4225"/>
      </w:tblGrid>
      <w:tr w:rsidR="00C01E0C" w:rsidRPr="00C01E0C" w14:paraId="63395BDF" w14:textId="77777777" w:rsidTr="00C01E0C">
        <w:trPr>
          <w:cantSplit/>
          <w:tblHeader/>
        </w:trPr>
        <w:tc>
          <w:tcPr>
            <w:tcW w:w="3595" w:type="dxa"/>
            <w:shd w:val="clear" w:color="auto" w:fill="404040" w:themeFill="text1" w:themeFillTint="BF"/>
          </w:tcPr>
          <w:bookmarkEnd w:id="0"/>
          <w:p w14:paraId="4150CFD2" w14:textId="77777777" w:rsidR="00503631" w:rsidRPr="00C01E0C" w:rsidRDefault="00503631">
            <w:pP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C01E0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Staffing</w:t>
            </w:r>
          </w:p>
        </w:tc>
        <w:tc>
          <w:tcPr>
            <w:tcW w:w="2970" w:type="dxa"/>
            <w:shd w:val="clear" w:color="auto" w:fill="404040" w:themeFill="text1" w:themeFillTint="BF"/>
          </w:tcPr>
          <w:p w14:paraId="54417AC9" w14:textId="77777777" w:rsidR="00503631" w:rsidRPr="00C01E0C" w:rsidRDefault="00503631" w:rsidP="00C2522E">
            <w:pP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C01E0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Role</w:t>
            </w:r>
          </w:p>
        </w:tc>
        <w:tc>
          <w:tcPr>
            <w:tcW w:w="4225" w:type="dxa"/>
            <w:shd w:val="clear" w:color="auto" w:fill="404040" w:themeFill="text1" w:themeFillTint="BF"/>
          </w:tcPr>
          <w:p w14:paraId="6F106681" w14:textId="77777777" w:rsidR="00503631" w:rsidRPr="00C01E0C" w:rsidRDefault="00503631" w:rsidP="00503631">
            <w:pP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C01E0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Tasks</w:t>
            </w:r>
          </w:p>
        </w:tc>
      </w:tr>
      <w:tr w:rsidR="00CD5AB7" w14:paraId="2386A028" w14:textId="77777777" w:rsidTr="00C01E0C">
        <w:trPr>
          <w:cantSplit/>
        </w:trPr>
        <w:tc>
          <w:tcPr>
            <w:tcW w:w="3595" w:type="dxa"/>
          </w:tcPr>
          <w:p w14:paraId="2A866157" w14:textId="77777777" w:rsidR="00C2522E" w:rsidRDefault="00C2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Provider with Appropriate             </w:t>
            </w:r>
          </w:p>
          <w:p w14:paraId="00510C98" w14:textId="77777777" w:rsidR="00C2522E" w:rsidRDefault="00C2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Privileging</w:t>
            </w:r>
          </w:p>
        </w:tc>
        <w:tc>
          <w:tcPr>
            <w:tcW w:w="2970" w:type="dxa"/>
          </w:tcPr>
          <w:p w14:paraId="405CC95C" w14:textId="77777777" w:rsidR="00C2522E" w:rsidRPr="00C2522E" w:rsidRDefault="00C2522E" w:rsidP="00C2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</w:t>
            </w:r>
            <w:r w:rsidRPr="00C2522E">
              <w:rPr>
                <w:rFonts w:ascii="Times New Roman" w:hAnsi="Times New Roman" w:cs="Times New Roman"/>
                <w:sz w:val="28"/>
                <w:szCs w:val="28"/>
              </w:rPr>
              <w:t>ferral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Provider</w:t>
            </w:r>
          </w:p>
        </w:tc>
        <w:tc>
          <w:tcPr>
            <w:tcW w:w="4225" w:type="dxa"/>
          </w:tcPr>
          <w:p w14:paraId="42A5935C" w14:textId="77777777" w:rsidR="00C2522E" w:rsidRDefault="00C2522E" w:rsidP="00C2522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Clinical assessment of eligibility criteria</w:t>
            </w:r>
          </w:p>
          <w:p w14:paraId="6512F67A" w14:textId="77777777" w:rsidR="00C2522E" w:rsidRPr="00C2522E" w:rsidRDefault="00C2522E" w:rsidP="00C2522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Order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bamlanivimab</w:t>
            </w:r>
            <w:proofErr w:type="spellEnd"/>
          </w:p>
        </w:tc>
      </w:tr>
      <w:tr w:rsidR="00CD5AB7" w14:paraId="3E9AA9BB" w14:textId="77777777" w:rsidTr="00C01E0C">
        <w:trPr>
          <w:cantSplit/>
        </w:trPr>
        <w:tc>
          <w:tcPr>
            <w:tcW w:w="3595" w:type="dxa"/>
          </w:tcPr>
          <w:p w14:paraId="7EBADF57" w14:textId="77777777" w:rsidR="00C2522E" w:rsidRDefault="00C2522E" w:rsidP="00C2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Provider – APRN, PA, etc.            </w:t>
            </w:r>
          </w:p>
        </w:tc>
        <w:tc>
          <w:tcPr>
            <w:tcW w:w="2970" w:type="dxa"/>
          </w:tcPr>
          <w:p w14:paraId="62171160" w14:textId="77777777" w:rsidR="00C2522E" w:rsidRPr="00C2522E" w:rsidRDefault="00C2522E" w:rsidP="00C2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22E">
              <w:rPr>
                <w:rFonts w:ascii="Times New Roman" w:hAnsi="Times New Roman" w:cs="Times New Roman"/>
                <w:sz w:val="28"/>
                <w:szCs w:val="28"/>
              </w:rPr>
              <w:t>Oversight</w:t>
            </w:r>
          </w:p>
        </w:tc>
        <w:tc>
          <w:tcPr>
            <w:tcW w:w="4225" w:type="dxa"/>
          </w:tcPr>
          <w:p w14:paraId="2A028AFC" w14:textId="77777777" w:rsidR="00C2522E" w:rsidRPr="00C2522E" w:rsidRDefault="00C2522E" w:rsidP="00C2522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May be needed to oversee larger infusion units or stand-alone infusion areas</w:t>
            </w:r>
          </w:p>
        </w:tc>
      </w:tr>
      <w:tr w:rsidR="00CD5AB7" w14:paraId="4116967F" w14:textId="77777777" w:rsidTr="00C01E0C">
        <w:trPr>
          <w:cantSplit/>
        </w:trPr>
        <w:tc>
          <w:tcPr>
            <w:tcW w:w="3595" w:type="dxa"/>
          </w:tcPr>
          <w:p w14:paraId="4E6E5003" w14:textId="77777777" w:rsidR="00C2522E" w:rsidRDefault="00C2522E" w:rsidP="00C2522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Scheduler/Registration</w:t>
            </w:r>
          </w:p>
          <w:p w14:paraId="79005E33" w14:textId="77777777" w:rsidR="00C2522E" w:rsidRPr="00C2522E" w:rsidRDefault="00C2522E" w:rsidP="00C2522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Remote/Central Scheduling</w:t>
            </w:r>
          </w:p>
        </w:tc>
        <w:tc>
          <w:tcPr>
            <w:tcW w:w="2970" w:type="dxa"/>
          </w:tcPr>
          <w:p w14:paraId="1E2AC5F0" w14:textId="77777777" w:rsidR="00C2522E" w:rsidRDefault="00C2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Schedule Patient for Treatment</w:t>
            </w:r>
          </w:p>
        </w:tc>
        <w:tc>
          <w:tcPr>
            <w:tcW w:w="4225" w:type="dxa"/>
          </w:tcPr>
          <w:p w14:paraId="69F841F4" w14:textId="77777777" w:rsidR="00C2522E" w:rsidRDefault="00A80D29" w:rsidP="00C2522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Schedule appointment (each patient appointment takes-180mins), includes assessment of availability of:</w:t>
            </w:r>
          </w:p>
          <w:p w14:paraId="74072F90" w14:textId="77777777" w:rsidR="00A80D29" w:rsidRDefault="00A80D29" w:rsidP="00A80D2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Provider order for care </w:t>
            </w:r>
          </w:p>
          <w:p w14:paraId="52B8A62A" w14:textId="77777777" w:rsidR="00A80D29" w:rsidRDefault="00A80D29" w:rsidP="00A80D2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Infusion space</w:t>
            </w:r>
          </w:p>
          <w:p w14:paraId="10CB8708" w14:textId="77777777" w:rsidR="00A80D29" w:rsidRDefault="00A80D29" w:rsidP="00A80D2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Staffing</w:t>
            </w:r>
          </w:p>
          <w:p w14:paraId="6B07F55A" w14:textId="77777777" w:rsidR="00A80D29" w:rsidRDefault="00A80D29" w:rsidP="00A80D2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Medication supply and ability to prepare and dispense</w:t>
            </w:r>
          </w:p>
          <w:p w14:paraId="2B5C676C" w14:textId="77777777" w:rsidR="00A80D29" w:rsidRDefault="000A1B3D" w:rsidP="00A80D2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Schedule should allow for at least 15 minutes of setup prior to patient arrival, and at least 15 minutes of transition time after last patients leaves</w:t>
            </w:r>
          </w:p>
          <w:p w14:paraId="12F8591A" w14:textId="77777777" w:rsidR="000A1B3D" w:rsidRDefault="000A1B3D" w:rsidP="000A1B3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Instructions to patient on arrival procedures to infusion space</w:t>
            </w:r>
          </w:p>
          <w:p w14:paraId="5C7EFD21" w14:textId="77777777" w:rsidR="000A1B3D" w:rsidRDefault="000A1B3D" w:rsidP="000A1B3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Communicate back to repurposed inpatient unit staff about upcoming appointment schedule</w:t>
            </w:r>
          </w:p>
          <w:p w14:paraId="4AB94847" w14:textId="4D0C65D2" w:rsidR="006D2797" w:rsidRPr="000A1B3D" w:rsidRDefault="000A1B3D" w:rsidP="00C0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B3D">
              <w:rPr>
                <w:rFonts w:ascii="Times New Roman" w:hAnsi="Times New Roman" w:cs="Times New Roman"/>
                <w:sz w:val="28"/>
                <w:szCs w:val="28"/>
              </w:rPr>
              <w:t>*Central Scheduling can staff scheduling of patients.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Scheduling staff may need to be assessed as program volume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increases.*</w:t>
            </w:r>
            <w:proofErr w:type="gramEnd"/>
          </w:p>
        </w:tc>
      </w:tr>
      <w:tr w:rsidR="00CD5AB7" w14:paraId="221F5FD3" w14:textId="77777777" w:rsidTr="00C01E0C">
        <w:trPr>
          <w:cantSplit/>
        </w:trPr>
        <w:tc>
          <w:tcPr>
            <w:tcW w:w="3595" w:type="dxa"/>
          </w:tcPr>
          <w:p w14:paraId="566178E1" w14:textId="77777777" w:rsidR="00C2522E" w:rsidRDefault="00D31714" w:rsidP="00D3171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Pharmacist</w:t>
            </w:r>
          </w:p>
          <w:p w14:paraId="746735DD" w14:textId="77777777" w:rsidR="00D31714" w:rsidRPr="00D31714" w:rsidRDefault="00D31714" w:rsidP="00D3171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Pharmacy Technician</w:t>
            </w:r>
          </w:p>
        </w:tc>
        <w:tc>
          <w:tcPr>
            <w:tcW w:w="2970" w:type="dxa"/>
          </w:tcPr>
          <w:p w14:paraId="368A4F3B" w14:textId="77777777" w:rsidR="00C2522E" w:rsidRDefault="00D31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Medication Procurement &amp; Preparation/Dispensing</w:t>
            </w:r>
          </w:p>
        </w:tc>
        <w:tc>
          <w:tcPr>
            <w:tcW w:w="4225" w:type="dxa"/>
          </w:tcPr>
          <w:p w14:paraId="730E4C4B" w14:textId="77777777" w:rsidR="00C2522E" w:rsidRDefault="00D31714" w:rsidP="00D3171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Preparation of the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bamlanivimab</w:t>
            </w:r>
            <w:proofErr w:type="spellEnd"/>
          </w:p>
          <w:p w14:paraId="0691CC7D" w14:textId="77777777" w:rsidR="00D31714" w:rsidRDefault="00D31714" w:rsidP="00D3171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Dispensing of the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bamlanivimab</w:t>
            </w:r>
            <w:proofErr w:type="spellEnd"/>
          </w:p>
          <w:p w14:paraId="225E98F9" w14:textId="77777777" w:rsidR="00D31714" w:rsidRPr="00D31714" w:rsidRDefault="00D31714" w:rsidP="00D31714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*Will be required to mix and deliver medications</w:t>
            </w:r>
            <w:r w:rsidR="00752470">
              <w:rPr>
                <w:rFonts w:ascii="Times New Roman" w:hAnsi="Times New Roman" w:cs="Times New Roman"/>
                <w:sz w:val="28"/>
                <w:szCs w:val="28"/>
              </w:rPr>
              <w:t xml:space="preserve"> upon each patient arrival. Additional technician resources may be needed to deliver medications – if volume &gt; 8 patients during off hours, plan for Tech to cover during infusion time (i.e. first 2 hours of 4 hour schedule</w:t>
            </w:r>
            <w:proofErr w:type="gramStart"/>
            <w:r w:rsidR="00752470">
              <w:rPr>
                <w:rFonts w:ascii="Times New Roman" w:hAnsi="Times New Roman" w:cs="Times New Roman"/>
                <w:sz w:val="28"/>
                <w:szCs w:val="28"/>
              </w:rPr>
              <w:t>).*</w:t>
            </w:r>
            <w:proofErr w:type="gramEnd"/>
          </w:p>
        </w:tc>
      </w:tr>
      <w:tr w:rsidR="00CD5AB7" w14:paraId="7800B59C" w14:textId="77777777" w:rsidTr="00C01E0C">
        <w:trPr>
          <w:cantSplit/>
        </w:trPr>
        <w:tc>
          <w:tcPr>
            <w:tcW w:w="3595" w:type="dxa"/>
          </w:tcPr>
          <w:p w14:paraId="28ABF38D" w14:textId="77777777" w:rsidR="00C2522E" w:rsidRDefault="00752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Registered Nurse (RN)</w:t>
            </w:r>
          </w:p>
        </w:tc>
        <w:tc>
          <w:tcPr>
            <w:tcW w:w="2970" w:type="dxa"/>
          </w:tcPr>
          <w:p w14:paraId="67AB3027" w14:textId="77777777" w:rsidR="00C2522E" w:rsidRDefault="00752470" w:rsidP="0075247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Patient Intake</w:t>
            </w:r>
          </w:p>
          <w:p w14:paraId="2D633065" w14:textId="77777777" w:rsidR="00752470" w:rsidRDefault="00752470" w:rsidP="0075247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Medication Administration</w:t>
            </w:r>
          </w:p>
          <w:p w14:paraId="51445F91" w14:textId="77777777" w:rsidR="00752470" w:rsidRDefault="00752470" w:rsidP="0075247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Post-Medication Administration</w:t>
            </w:r>
          </w:p>
          <w:p w14:paraId="47132574" w14:textId="77777777" w:rsidR="00752470" w:rsidRPr="00752470" w:rsidRDefault="00752470" w:rsidP="0075247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Patient Release</w:t>
            </w:r>
          </w:p>
        </w:tc>
        <w:tc>
          <w:tcPr>
            <w:tcW w:w="4225" w:type="dxa"/>
          </w:tcPr>
          <w:p w14:paraId="44909C92" w14:textId="77777777" w:rsidR="00C2522E" w:rsidRDefault="00752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Patient Intake:</w:t>
            </w:r>
          </w:p>
          <w:p w14:paraId="7AD3672D" w14:textId="77777777" w:rsidR="00752470" w:rsidRDefault="00752470" w:rsidP="0075247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Validate VS</w:t>
            </w:r>
          </w:p>
          <w:p w14:paraId="1B2A16E5" w14:textId="77777777" w:rsidR="00752470" w:rsidRDefault="00752470" w:rsidP="0075247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Perform medication verification</w:t>
            </w:r>
          </w:p>
          <w:p w14:paraId="38BD183F" w14:textId="77777777" w:rsidR="00752470" w:rsidRDefault="00752470" w:rsidP="0075247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Ensure consent to treat is obtained</w:t>
            </w:r>
          </w:p>
          <w:p w14:paraId="4958068C" w14:textId="77777777" w:rsidR="00752470" w:rsidRDefault="00752470" w:rsidP="00752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470">
              <w:rPr>
                <w:rFonts w:ascii="Times New Roman" w:hAnsi="Times New Roman" w:cs="Times New Roman"/>
                <w:b/>
                <w:sz w:val="28"/>
                <w:szCs w:val="28"/>
              </w:rPr>
              <w:t>Medication Administration:</w:t>
            </w:r>
          </w:p>
          <w:p w14:paraId="510004A5" w14:textId="77777777" w:rsidR="00AC1977" w:rsidRDefault="00752470" w:rsidP="00AC197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2470">
              <w:rPr>
                <w:rFonts w:ascii="Times New Roman" w:hAnsi="Times New Roman" w:cs="Times New Roman"/>
                <w:sz w:val="28"/>
                <w:szCs w:val="28"/>
              </w:rPr>
              <w:t>IV Initiation – stagger start</w:t>
            </w:r>
            <w:r w:rsidR="00AC1977">
              <w:rPr>
                <w:rFonts w:ascii="Times New Roman" w:hAnsi="Times New Roman" w:cs="Times New Roman"/>
                <w:sz w:val="28"/>
                <w:szCs w:val="28"/>
              </w:rPr>
              <w:t xml:space="preserve"> times of concurrent infusions, not to exceed a ratio of 1 RN to 4 patients</w:t>
            </w:r>
          </w:p>
          <w:p w14:paraId="08BF1B57" w14:textId="77777777" w:rsidR="00AC1977" w:rsidRDefault="00AC1977" w:rsidP="00AC197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Monitor Infusion Administration (60 mins)</w:t>
            </w:r>
          </w:p>
          <w:p w14:paraId="26889393" w14:textId="77777777" w:rsidR="00AC1977" w:rsidRDefault="00AC1977" w:rsidP="00AC19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77">
              <w:rPr>
                <w:rFonts w:ascii="Times New Roman" w:hAnsi="Times New Roman" w:cs="Times New Roman"/>
                <w:b/>
                <w:sz w:val="28"/>
                <w:szCs w:val="28"/>
              </w:rPr>
              <w:t>Post Medication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Administration:</w:t>
            </w:r>
          </w:p>
          <w:p w14:paraId="6092465E" w14:textId="77777777" w:rsidR="00AC1977" w:rsidRDefault="00AC1977" w:rsidP="00AC197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C1977">
              <w:rPr>
                <w:rFonts w:ascii="Times New Roman" w:hAnsi="Times New Roman" w:cs="Times New Roman"/>
                <w:sz w:val="28"/>
                <w:szCs w:val="28"/>
              </w:rPr>
              <w:t>Post-infusion observation (60 mins)</w:t>
            </w:r>
          </w:p>
          <w:p w14:paraId="66A2676D" w14:textId="77777777" w:rsidR="00AC1977" w:rsidRPr="00AC1977" w:rsidRDefault="00AC1977" w:rsidP="00AC19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77">
              <w:rPr>
                <w:rFonts w:ascii="Times New Roman" w:hAnsi="Times New Roman" w:cs="Times New Roman"/>
                <w:b/>
                <w:sz w:val="28"/>
                <w:szCs w:val="28"/>
              </w:rPr>
              <w:t>Patient Release:</w:t>
            </w:r>
          </w:p>
          <w:p w14:paraId="7F66B449" w14:textId="77777777" w:rsidR="00AC1977" w:rsidRDefault="00AC1977" w:rsidP="00AC197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Discharge education and documentation</w:t>
            </w:r>
          </w:p>
          <w:p w14:paraId="221F3FBE" w14:textId="77777777" w:rsidR="00AC1977" w:rsidRDefault="00AC1977" w:rsidP="00AC19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DD332B" w14:textId="77777777" w:rsidR="00CD5AB7" w:rsidRPr="00AC1977" w:rsidRDefault="00CD5AB7" w:rsidP="00AC19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AB7" w14:paraId="2DD3D170" w14:textId="77777777" w:rsidTr="00C01E0C">
        <w:trPr>
          <w:cantSplit/>
        </w:trPr>
        <w:tc>
          <w:tcPr>
            <w:tcW w:w="3595" w:type="dxa"/>
          </w:tcPr>
          <w:p w14:paraId="4E441C54" w14:textId="77777777" w:rsidR="00C2522E" w:rsidRPr="00C24F94" w:rsidRDefault="00C24F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Patient Care Tech (PCT)</w:t>
            </w:r>
          </w:p>
        </w:tc>
        <w:tc>
          <w:tcPr>
            <w:tcW w:w="2970" w:type="dxa"/>
          </w:tcPr>
          <w:p w14:paraId="25FFA9B2" w14:textId="77777777" w:rsidR="00C2522E" w:rsidRPr="00C24F94" w:rsidRDefault="00C24F94" w:rsidP="00C24F9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F94">
              <w:rPr>
                <w:rFonts w:ascii="Times New Roman" w:hAnsi="Times New Roman" w:cs="Times New Roman"/>
                <w:b/>
                <w:sz w:val="28"/>
                <w:szCs w:val="28"/>
              </w:rPr>
              <w:t>Patient Intake</w:t>
            </w:r>
          </w:p>
          <w:p w14:paraId="5C1DC9B6" w14:textId="77777777" w:rsidR="00C24F94" w:rsidRPr="00C24F94" w:rsidRDefault="00C24F94" w:rsidP="00C24F9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F94">
              <w:rPr>
                <w:rFonts w:ascii="Times New Roman" w:hAnsi="Times New Roman" w:cs="Times New Roman"/>
                <w:b/>
                <w:sz w:val="28"/>
                <w:szCs w:val="28"/>
              </w:rPr>
              <w:t>Post-Medication Administration</w:t>
            </w:r>
          </w:p>
          <w:p w14:paraId="7DD01FDC" w14:textId="77777777" w:rsidR="00C24F94" w:rsidRPr="00C24F94" w:rsidRDefault="00C24F94" w:rsidP="00C24F9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24F94">
              <w:rPr>
                <w:rFonts w:ascii="Times New Roman" w:hAnsi="Times New Roman" w:cs="Times New Roman"/>
                <w:b/>
                <w:sz w:val="28"/>
                <w:szCs w:val="28"/>
              </w:rPr>
              <w:t>Patient Release</w:t>
            </w:r>
          </w:p>
        </w:tc>
        <w:tc>
          <w:tcPr>
            <w:tcW w:w="4225" w:type="dxa"/>
          </w:tcPr>
          <w:p w14:paraId="34632579" w14:textId="77777777" w:rsidR="00C2522E" w:rsidRDefault="00C24F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F94">
              <w:rPr>
                <w:rFonts w:ascii="Times New Roman" w:hAnsi="Times New Roman" w:cs="Times New Roman"/>
                <w:b/>
                <w:sz w:val="28"/>
                <w:szCs w:val="28"/>
              </w:rPr>
              <w:t>Patient Intake:</w:t>
            </w:r>
          </w:p>
          <w:p w14:paraId="5AA151D2" w14:textId="77777777" w:rsidR="00C24F94" w:rsidRDefault="00C24F94" w:rsidP="00C24F9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24F94">
              <w:rPr>
                <w:rFonts w:ascii="Times New Roman" w:hAnsi="Times New Roman" w:cs="Times New Roman"/>
                <w:sz w:val="28"/>
                <w:szCs w:val="28"/>
              </w:rPr>
              <w:t>Pretreatment assessment and clinical documentation:</w:t>
            </w:r>
          </w:p>
          <w:p w14:paraId="79CCCE56" w14:textId="77777777" w:rsidR="00CD5AB7" w:rsidRDefault="00CD5AB7" w:rsidP="00CD5AB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Vital signs</w:t>
            </w:r>
          </w:p>
          <w:p w14:paraId="4114AC68" w14:textId="77777777" w:rsidR="00CD5AB7" w:rsidRDefault="00CD5AB7" w:rsidP="00CD5AB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Height/weight</w:t>
            </w:r>
          </w:p>
          <w:p w14:paraId="5126F2AA" w14:textId="77777777" w:rsidR="00CD5AB7" w:rsidRDefault="00CD5AB7" w:rsidP="00CD5A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AB7">
              <w:rPr>
                <w:rFonts w:ascii="Times New Roman" w:hAnsi="Times New Roman" w:cs="Times New Roman"/>
                <w:b/>
                <w:sz w:val="28"/>
                <w:szCs w:val="28"/>
              </w:rPr>
              <w:t>Post-Medication Administration:</w:t>
            </w:r>
          </w:p>
          <w:p w14:paraId="5E383847" w14:textId="77777777" w:rsidR="00CD5AB7" w:rsidRPr="00CD5AB7" w:rsidRDefault="00CD5AB7" w:rsidP="00CD5AB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5AB7">
              <w:rPr>
                <w:rFonts w:ascii="Times New Roman" w:hAnsi="Times New Roman" w:cs="Times New Roman"/>
                <w:sz w:val="28"/>
                <w:szCs w:val="28"/>
              </w:rPr>
              <w:t>Post-infusion observation (60 mins)</w:t>
            </w:r>
          </w:p>
        </w:tc>
      </w:tr>
      <w:tr w:rsidR="00CD5AB7" w14:paraId="6FA8D83F" w14:textId="77777777" w:rsidTr="00C01E0C">
        <w:trPr>
          <w:cantSplit/>
        </w:trPr>
        <w:tc>
          <w:tcPr>
            <w:tcW w:w="3595" w:type="dxa"/>
          </w:tcPr>
          <w:p w14:paraId="5B191138" w14:textId="77777777" w:rsidR="00C2522E" w:rsidRPr="00CD5AB7" w:rsidRDefault="00CD5A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AB7">
              <w:rPr>
                <w:rFonts w:ascii="Times New Roman" w:hAnsi="Times New Roman" w:cs="Times New Roman"/>
                <w:b/>
                <w:sz w:val="28"/>
                <w:szCs w:val="28"/>
              </w:rPr>
              <w:t>Licensed Practical Nurse (LPN)</w:t>
            </w:r>
          </w:p>
        </w:tc>
        <w:tc>
          <w:tcPr>
            <w:tcW w:w="2970" w:type="dxa"/>
          </w:tcPr>
          <w:p w14:paraId="6BB67C6A" w14:textId="77777777" w:rsidR="00C2522E" w:rsidRDefault="00CD5AB7" w:rsidP="00CD5AB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Patient Intake</w:t>
            </w:r>
          </w:p>
          <w:p w14:paraId="52CFDE00" w14:textId="77777777" w:rsidR="00CD5AB7" w:rsidRDefault="00CD5AB7" w:rsidP="00CD5AB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Post-Medication Administration</w:t>
            </w:r>
          </w:p>
          <w:p w14:paraId="0B848AA2" w14:textId="77777777" w:rsidR="00CD5AB7" w:rsidRPr="00CD5AB7" w:rsidRDefault="00CD5AB7" w:rsidP="00CD5AB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Patient Release</w:t>
            </w:r>
          </w:p>
        </w:tc>
        <w:tc>
          <w:tcPr>
            <w:tcW w:w="4225" w:type="dxa"/>
          </w:tcPr>
          <w:p w14:paraId="76C71A27" w14:textId="77777777" w:rsidR="00CD5AB7" w:rsidRDefault="00CD5AB7" w:rsidP="00CD5A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F94">
              <w:rPr>
                <w:rFonts w:ascii="Times New Roman" w:hAnsi="Times New Roman" w:cs="Times New Roman"/>
                <w:b/>
                <w:sz w:val="28"/>
                <w:szCs w:val="28"/>
              </w:rPr>
              <w:t>Patient Intake:</w:t>
            </w:r>
          </w:p>
          <w:p w14:paraId="4F4337F0" w14:textId="77777777" w:rsidR="00CD5AB7" w:rsidRDefault="00CD5AB7" w:rsidP="00CD5AB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24F94">
              <w:rPr>
                <w:rFonts w:ascii="Times New Roman" w:hAnsi="Times New Roman" w:cs="Times New Roman"/>
                <w:sz w:val="28"/>
                <w:szCs w:val="28"/>
              </w:rPr>
              <w:t>Pretreatment assessment and clinical documentation:</w:t>
            </w:r>
          </w:p>
          <w:p w14:paraId="60C5D012" w14:textId="77777777" w:rsidR="00CD5AB7" w:rsidRDefault="00CD5AB7" w:rsidP="00CD5AB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Vital signs</w:t>
            </w:r>
          </w:p>
          <w:p w14:paraId="1FCC333C" w14:textId="77777777" w:rsidR="00CD5AB7" w:rsidRDefault="00CD5AB7" w:rsidP="00CD5AB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Height/weight</w:t>
            </w:r>
          </w:p>
          <w:p w14:paraId="77D63F76" w14:textId="77777777" w:rsidR="00CD5AB7" w:rsidRDefault="00CD5AB7" w:rsidP="00CD5A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AB7">
              <w:rPr>
                <w:rFonts w:ascii="Times New Roman" w:hAnsi="Times New Roman" w:cs="Times New Roman"/>
                <w:b/>
                <w:sz w:val="28"/>
                <w:szCs w:val="28"/>
              </w:rPr>
              <w:t>Post-Medication Administration:</w:t>
            </w:r>
          </w:p>
          <w:p w14:paraId="714D9AAF" w14:textId="77777777" w:rsidR="00C2522E" w:rsidRDefault="00CD5AB7" w:rsidP="00CD5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AB7">
              <w:rPr>
                <w:rFonts w:ascii="Times New Roman" w:hAnsi="Times New Roman" w:cs="Times New Roman"/>
                <w:sz w:val="28"/>
                <w:szCs w:val="28"/>
              </w:rPr>
              <w:t>Post-infusion observation (60 mins)</w:t>
            </w:r>
          </w:p>
          <w:p w14:paraId="49341F7D" w14:textId="77777777" w:rsidR="00CD5AB7" w:rsidRDefault="00CD5AB7" w:rsidP="00CD5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*Can be exchanged with RNs if LPNs are not available*</w:t>
            </w:r>
          </w:p>
        </w:tc>
      </w:tr>
      <w:tr w:rsidR="00CD5AB7" w14:paraId="2985D53C" w14:textId="77777777" w:rsidTr="00C01E0C">
        <w:trPr>
          <w:cantSplit/>
        </w:trPr>
        <w:tc>
          <w:tcPr>
            <w:tcW w:w="3595" w:type="dxa"/>
          </w:tcPr>
          <w:p w14:paraId="3B7CE0EC" w14:textId="77777777" w:rsidR="00CD5AB7" w:rsidRPr="00CD5AB7" w:rsidRDefault="00CD5A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Emergency Response Team</w:t>
            </w:r>
          </w:p>
        </w:tc>
        <w:tc>
          <w:tcPr>
            <w:tcW w:w="2970" w:type="dxa"/>
          </w:tcPr>
          <w:p w14:paraId="40CD9746" w14:textId="77777777" w:rsidR="00CD5AB7" w:rsidRDefault="00CD5AB7" w:rsidP="00CD5AB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Medication Administration</w:t>
            </w:r>
          </w:p>
          <w:p w14:paraId="2A313498" w14:textId="77777777" w:rsidR="00CD5AB7" w:rsidRDefault="00CD5AB7" w:rsidP="00CD5AB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Post-Medication Administration</w:t>
            </w:r>
          </w:p>
        </w:tc>
        <w:tc>
          <w:tcPr>
            <w:tcW w:w="4225" w:type="dxa"/>
          </w:tcPr>
          <w:p w14:paraId="3CBB6EBB" w14:textId="77777777" w:rsidR="00CD5AB7" w:rsidRPr="00CD5AB7" w:rsidRDefault="00CD5AB7" w:rsidP="00CD5AB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Adverse event precaution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i.e.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infusion reaction policy)</w:t>
            </w:r>
          </w:p>
          <w:p w14:paraId="7D93C8A8" w14:textId="77777777" w:rsidR="00CD5AB7" w:rsidRPr="00CD5AB7" w:rsidRDefault="00CD5AB7" w:rsidP="00CD5AB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Emergency response team</w:t>
            </w:r>
            <w:r w:rsidR="00CF608B">
              <w:rPr>
                <w:rFonts w:ascii="Times New Roman" w:hAnsi="Times New Roman" w:cs="Times New Roman"/>
                <w:sz w:val="28"/>
                <w:szCs w:val="28"/>
              </w:rPr>
              <w:t xml:space="preserve"> for code response if needed</w:t>
            </w:r>
          </w:p>
        </w:tc>
      </w:tr>
      <w:tr w:rsidR="00CF608B" w14:paraId="482ED8E3" w14:textId="77777777" w:rsidTr="00C01E0C">
        <w:trPr>
          <w:cantSplit/>
        </w:trPr>
        <w:tc>
          <w:tcPr>
            <w:tcW w:w="3595" w:type="dxa"/>
          </w:tcPr>
          <w:p w14:paraId="0E52308C" w14:textId="77777777" w:rsidR="00CF608B" w:rsidRDefault="00CF60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Alternate Staff to Place IV</w:t>
            </w:r>
          </w:p>
        </w:tc>
        <w:tc>
          <w:tcPr>
            <w:tcW w:w="2970" w:type="dxa"/>
          </w:tcPr>
          <w:p w14:paraId="021D24DC" w14:textId="77777777" w:rsidR="00CF608B" w:rsidRDefault="00CF608B" w:rsidP="00CD5AB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Access Issues</w:t>
            </w:r>
          </w:p>
        </w:tc>
        <w:tc>
          <w:tcPr>
            <w:tcW w:w="4225" w:type="dxa"/>
          </w:tcPr>
          <w:p w14:paraId="331BAFAA" w14:textId="77777777" w:rsidR="00CF608B" w:rsidRPr="00CF608B" w:rsidRDefault="00CF608B" w:rsidP="00CF608B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Support in the event RN unable to gain patient IV access</w:t>
            </w:r>
          </w:p>
        </w:tc>
      </w:tr>
      <w:tr w:rsidR="00CF608B" w14:paraId="640DD433" w14:textId="77777777" w:rsidTr="00C01E0C">
        <w:trPr>
          <w:cantSplit/>
        </w:trPr>
        <w:tc>
          <w:tcPr>
            <w:tcW w:w="3595" w:type="dxa"/>
          </w:tcPr>
          <w:p w14:paraId="48435BEC" w14:textId="77777777" w:rsidR="00CF608B" w:rsidRDefault="006D27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Environmental Services (EVS)</w:t>
            </w:r>
          </w:p>
        </w:tc>
        <w:tc>
          <w:tcPr>
            <w:tcW w:w="2970" w:type="dxa"/>
          </w:tcPr>
          <w:p w14:paraId="5B2A564F" w14:textId="77777777" w:rsidR="00CF608B" w:rsidRPr="006D2797" w:rsidRDefault="006D2797" w:rsidP="006D2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797">
              <w:rPr>
                <w:rFonts w:ascii="Times New Roman" w:hAnsi="Times New Roman" w:cs="Times New Roman"/>
                <w:sz w:val="28"/>
                <w:szCs w:val="28"/>
              </w:rPr>
              <w:t>Cleaning</w:t>
            </w:r>
          </w:p>
        </w:tc>
        <w:tc>
          <w:tcPr>
            <w:tcW w:w="4225" w:type="dxa"/>
          </w:tcPr>
          <w:p w14:paraId="023DEBEB" w14:textId="77777777" w:rsidR="00CF608B" w:rsidRDefault="006D2797" w:rsidP="00CF608B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COVID-19 cleaning/disinfection</w:t>
            </w:r>
          </w:p>
          <w:p w14:paraId="1C905A55" w14:textId="77777777" w:rsidR="006D2797" w:rsidRDefault="006D2797" w:rsidP="00CF608B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Utilize non-porous surfaces: no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fabric, if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cubicle curtains are present please use disposables</w:t>
            </w:r>
          </w:p>
          <w:p w14:paraId="68E63F0D" w14:textId="77777777" w:rsidR="006D2797" w:rsidRDefault="006D2797" w:rsidP="006D2797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*Will be required to assist with patient turnovers and terminal cleaning (20 minutes per patient if patient not located in private room that has bathroom). If exceeding 10% of designated area man hours during specified hours of operation, will need to plan for incremental EVS staff adds. *See example in staffing grid below</w:t>
            </w:r>
          </w:p>
        </w:tc>
      </w:tr>
      <w:tr w:rsidR="006D2797" w14:paraId="345F0250" w14:textId="77777777" w:rsidTr="00C01E0C">
        <w:trPr>
          <w:cantSplit/>
        </w:trPr>
        <w:tc>
          <w:tcPr>
            <w:tcW w:w="3595" w:type="dxa"/>
          </w:tcPr>
          <w:p w14:paraId="019299C0" w14:textId="77777777" w:rsidR="006D2797" w:rsidRDefault="006D27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Security</w:t>
            </w:r>
          </w:p>
        </w:tc>
        <w:tc>
          <w:tcPr>
            <w:tcW w:w="2970" w:type="dxa"/>
          </w:tcPr>
          <w:p w14:paraId="7020F978" w14:textId="77777777" w:rsidR="006D2797" w:rsidRPr="006D2797" w:rsidRDefault="006D2797" w:rsidP="006D2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Security</w:t>
            </w:r>
          </w:p>
        </w:tc>
        <w:tc>
          <w:tcPr>
            <w:tcW w:w="4225" w:type="dxa"/>
          </w:tcPr>
          <w:p w14:paraId="3C0F5C91" w14:textId="77777777" w:rsidR="006D2797" w:rsidRDefault="006D2797" w:rsidP="00CF608B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Medication security – locked safe</w:t>
            </w:r>
          </w:p>
        </w:tc>
      </w:tr>
      <w:tr w:rsidR="006D2797" w14:paraId="6CAD0751" w14:textId="77777777" w:rsidTr="00C01E0C">
        <w:trPr>
          <w:cantSplit/>
        </w:trPr>
        <w:tc>
          <w:tcPr>
            <w:tcW w:w="3595" w:type="dxa"/>
          </w:tcPr>
          <w:p w14:paraId="3BE89686" w14:textId="77777777" w:rsidR="006D2797" w:rsidRDefault="006D27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RN/PCT/LPN</w:t>
            </w:r>
          </w:p>
        </w:tc>
        <w:tc>
          <w:tcPr>
            <w:tcW w:w="2970" w:type="dxa"/>
          </w:tcPr>
          <w:p w14:paraId="64E355E3" w14:textId="77777777" w:rsidR="006D2797" w:rsidRDefault="006D2797" w:rsidP="006D2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Post-Discharge follow-up</w:t>
            </w:r>
          </w:p>
        </w:tc>
        <w:tc>
          <w:tcPr>
            <w:tcW w:w="4225" w:type="dxa"/>
          </w:tcPr>
          <w:p w14:paraId="0062E30D" w14:textId="77777777" w:rsidR="006D2797" w:rsidRDefault="006D2797" w:rsidP="00CF608B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Post discharge follow-up protocol</w:t>
            </w:r>
          </w:p>
        </w:tc>
      </w:tr>
    </w:tbl>
    <w:p w14:paraId="44FEA4F7" w14:textId="77777777" w:rsidR="003D3302" w:rsidRPr="00C2522E" w:rsidRDefault="003D3302">
      <w:pPr>
        <w:rPr>
          <w:rFonts w:ascii="Times New Roman" w:hAnsi="Times New Roman" w:cs="Times New Roman"/>
          <w:sz w:val="28"/>
          <w:szCs w:val="28"/>
        </w:rPr>
      </w:pPr>
    </w:p>
    <w:sectPr w:rsidR="003D3302" w:rsidRPr="00C2522E" w:rsidSect="000A1B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AD041" w14:textId="77777777" w:rsidR="00236CE4" w:rsidRDefault="00236CE4" w:rsidP="006C7A6E">
      <w:pPr>
        <w:spacing w:after="0" w:line="240" w:lineRule="auto"/>
      </w:pPr>
      <w:r>
        <w:separator/>
      </w:r>
    </w:p>
  </w:endnote>
  <w:endnote w:type="continuationSeparator" w:id="0">
    <w:p w14:paraId="38979E3A" w14:textId="77777777" w:rsidR="00236CE4" w:rsidRDefault="00236CE4" w:rsidP="006C7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0ECA8" w14:textId="77777777" w:rsidR="000913C4" w:rsidRDefault="000913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1078E" w14:textId="77777777" w:rsidR="000222F0" w:rsidRDefault="000222F0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4A0CFA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14:paraId="571BDF4D" w14:textId="77777777" w:rsidR="000222F0" w:rsidRDefault="000222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67A9F" w14:textId="77777777" w:rsidR="000913C4" w:rsidRDefault="000913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1AA4E" w14:textId="77777777" w:rsidR="00236CE4" w:rsidRDefault="00236CE4" w:rsidP="006C7A6E">
      <w:pPr>
        <w:spacing w:after="0" w:line="240" w:lineRule="auto"/>
      </w:pPr>
      <w:r>
        <w:separator/>
      </w:r>
    </w:p>
  </w:footnote>
  <w:footnote w:type="continuationSeparator" w:id="0">
    <w:p w14:paraId="6A84365D" w14:textId="77777777" w:rsidR="00236CE4" w:rsidRDefault="00236CE4" w:rsidP="006C7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B1885" w14:textId="77777777" w:rsidR="000913C4" w:rsidRDefault="000913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A3B3C" w14:textId="21FAEA2C" w:rsidR="000913C4" w:rsidRDefault="000913C4">
    <w:pPr>
      <w:pStyle w:val="Head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[ FACILITY/ORGANIZATION NAME]</w:t>
    </w:r>
  </w:p>
  <w:p w14:paraId="57CECEB3" w14:textId="1F65F010" w:rsidR="000913C4" w:rsidRPr="000A1B3D" w:rsidRDefault="000913C4" w:rsidP="000913C4">
    <w:pPr>
      <w:spacing w:after="0"/>
      <w:rPr>
        <w:rFonts w:ascii="Times New Roman" w:hAnsi="Times New Roman" w:cs="Times New Roman"/>
        <w:i/>
        <w:sz w:val="24"/>
        <w:szCs w:val="24"/>
      </w:rPr>
    </w:pPr>
    <w:r w:rsidRPr="000A1B3D">
      <w:rPr>
        <w:rFonts w:ascii="Times New Roman" w:hAnsi="Times New Roman" w:cs="Times New Roman"/>
        <w:i/>
        <w:sz w:val="24"/>
        <w:szCs w:val="24"/>
      </w:rPr>
      <w:t xml:space="preserve">RN/LPN/PCT </w:t>
    </w:r>
    <w:r>
      <w:rPr>
        <w:rFonts w:ascii="Times New Roman" w:hAnsi="Times New Roman" w:cs="Times New Roman"/>
        <w:i/>
        <w:sz w:val="24"/>
        <w:szCs w:val="24"/>
      </w:rPr>
      <w:t>roles/tasks</w:t>
    </w:r>
    <w:r w:rsidRPr="000A1B3D">
      <w:rPr>
        <w:rFonts w:ascii="Times New Roman" w:hAnsi="Times New Roman" w:cs="Times New Roman"/>
        <w:i/>
        <w:sz w:val="24"/>
        <w:szCs w:val="24"/>
      </w:rPr>
      <w:t xml:space="preserve"> </w:t>
    </w:r>
    <w:r>
      <w:rPr>
        <w:rFonts w:ascii="Times New Roman" w:hAnsi="Times New Roman" w:cs="Times New Roman"/>
        <w:i/>
        <w:sz w:val="24"/>
        <w:szCs w:val="24"/>
      </w:rPr>
      <w:t xml:space="preserve">need to be </w:t>
    </w:r>
    <w:r w:rsidRPr="000A1B3D">
      <w:rPr>
        <w:rFonts w:ascii="Times New Roman" w:hAnsi="Times New Roman" w:cs="Times New Roman"/>
        <w:i/>
        <w:sz w:val="24"/>
        <w:szCs w:val="24"/>
      </w:rPr>
      <w:t>based on</w:t>
    </w:r>
    <w:r w:rsidRPr="000913C4">
      <w:rPr>
        <w:rFonts w:ascii="Times New Roman" w:hAnsi="Times New Roman" w:cs="Times New Roman"/>
        <w:b/>
        <w:bCs/>
        <w:iCs/>
        <w:sz w:val="24"/>
        <w:szCs w:val="24"/>
        <w:u w:val="single"/>
      </w:rPr>
      <w:t xml:space="preserve"> YOUR</w:t>
    </w:r>
    <w:r w:rsidRPr="000A1B3D">
      <w:rPr>
        <w:rFonts w:ascii="Times New Roman" w:hAnsi="Times New Roman" w:cs="Times New Roman"/>
        <w:i/>
        <w:sz w:val="24"/>
        <w:szCs w:val="24"/>
      </w:rPr>
      <w:t xml:space="preserve"> </w:t>
    </w:r>
    <w:r>
      <w:rPr>
        <w:rFonts w:ascii="Times New Roman" w:hAnsi="Times New Roman" w:cs="Times New Roman"/>
        <w:i/>
        <w:sz w:val="24"/>
        <w:szCs w:val="24"/>
      </w:rPr>
      <w:t xml:space="preserve">individual </w:t>
    </w:r>
    <w:r w:rsidRPr="000A1B3D">
      <w:rPr>
        <w:rFonts w:ascii="Times New Roman" w:hAnsi="Times New Roman" w:cs="Times New Roman"/>
        <w:i/>
        <w:sz w:val="24"/>
        <w:szCs w:val="24"/>
      </w:rPr>
      <w:t>State Board of Nursing/Board of Health guidance</w:t>
    </w:r>
  </w:p>
  <w:p w14:paraId="536D3F6F" w14:textId="55D7A20F" w:rsidR="006C7A6E" w:rsidRPr="00C2522E" w:rsidRDefault="006C7A6E">
    <w:pPr>
      <w:pStyle w:val="Header"/>
      <w:rPr>
        <w:rFonts w:ascii="Times New Roman" w:hAnsi="Times New Roman" w:cs="Times New Roman"/>
        <w:b/>
        <w:sz w:val="28"/>
        <w:szCs w:val="28"/>
      </w:rPr>
    </w:pPr>
    <w:r w:rsidRPr="00C2522E">
      <w:rPr>
        <w:rFonts w:ascii="Times New Roman" w:hAnsi="Times New Roman" w:cs="Times New Roman"/>
        <w:b/>
        <w:sz w:val="28"/>
        <w:szCs w:val="28"/>
      </w:rPr>
      <w:t>Staffing and Supply Recommendations</w:t>
    </w:r>
    <w:r w:rsidR="000A1B3D">
      <w:rPr>
        <w:rFonts w:ascii="Times New Roman" w:hAnsi="Times New Roman" w:cs="Times New Roman"/>
        <w:b/>
        <w:sz w:val="28"/>
        <w:szCs w:val="28"/>
      </w:rPr>
      <w:t xml:space="preserve"> – Staffing Recommendations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A0FC6" w14:textId="77777777" w:rsidR="000913C4" w:rsidRDefault="000913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A7938"/>
    <w:multiLevelType w:val="hybridMultilevel"/>
    <w:tmpl w:val="0CA69E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802411"/>
    <w:multiLevelType w:val="hybridMultilevel"/>
    <w:tmpl w:val="CE4CBB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EA69BD"/>
    <w:multiLevelType w:val="hybridMultilevel"/>
    <w:tmpl w:val="AE4E60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D54A23"/>
    <w:multiLevelType w:val="hybridMultilevel"/>
    <w:tmpl w:val="E6E0CA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1E6135"/>
    <w:multiLevelType w:val="hybridMultilevel"/>
    <w:tmpl w:val="285CB6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D80732"/>
    <w:multiLevelType w:val="hybridMultilevel"/>
    <w:tmpl w:val="A68CE8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8D6249"/>
    <w:multiLevelType w:val="hybridMultilevel"/>
    <w:tmpl w:val="864A36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A218B2"/>
    <w:multiLevelType w:val="hybridMultilevel"/>
    <w:tmpl w:val="18503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E7066F"/>
    <w:multiLevelType w:val="hybridMultilevel"/>
    <w:tmpl w:val="EB80370C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6227388C"/>
    <w:multiLevelType w:val="hybridMultilevel"/>
    <w:tmpl w:val="07F0CB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78546FCF"/>
    <w:multiLevelType w:val="hybridMultilevel"/>
    <w:tmpl w:val="6D4EE5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9B2E37"/>
    <w:multiLevelType w:val="hybridMultilevel"/>
    <w:tmpl w:val="E8520F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3E13C5"/>
    <w:multiLevelType w:val="hybridMultilevel"/>
    <w:tmpl w:val="025CED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11"/>
  </w:num>
  <w:num w:numId="5">
    <w:abstractNumId w:val="1"/>
  </w:num>
  <w:num w:numId="6">
    <w:abstractNumId w:val="6"/>
  </w:num>
  <w:num w:numId="7">
    <w:abstractNumId w:val="3"/>
  </w:num>
  <w:num w:numId="8">
    <w:abstractNumId w:val="10"/>
  </w:num>
  <w:num w:numId="9">
    <w:abstractNumId w:val="2"/>
  </w:num>
  <w:num w:numId="10">
    <w:abstractNumId w:val="4"/>
  </w:num>
  <w:num w:numId="11">
    <w:abstractNumId w:val="7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zMbO0sDAyMzU1MjFR0lEKTi0uzszPAykwrAUA+z4UvywAAAA="/>
  </w:docVars>
  <w:rsids>
    <w:rsidRoot w:val="006C7A6E"/>
    <w:rsid w:val="000222F0"/>
    <w:rsid w:val="000913C4"/>
    <w:rsid w:val="000A1B3D"/>
    <w:rsid w:val="001A191D"/>
    <w:rsid w:val="00236CE4"/>
    <w:rsid w:val="003D3302"/>
    <w:rsid w:val="004A0CFA"/>
    <w:rsid w:val="00503631"/>
    <w:rsid w:val="006C7A6E"/>
    <w:rsid w:val="006D2797"/>
    <w:rsid w:val="00752470"/>
    <w:rsid w:val="00941D52"/>
    <w:rsid w:val="00A1566E"/>
    <w:rsid w:val="00A80D29"/>
    <w:rsid w:val="00AC1977"/>
    <w:rsid w:val="00B75409"/>
    <w:rsid w:val="00C01E0C"/>
    <w:rsid w:val="00C24F94"/>
    <w:rsid w:val="00C2522E"/>
    <w:rsid w:val="00CD5AB7"/>
    <w:rsid w:val="00CF608B"/>
    <w:rsid w:val="00D3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FCAB6"/>
  <w15:chartTrackingRefBased/>
  <w15:docId w15:val="{1FD75F1A-5E23-49F3-86AA-D183B5BFD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7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7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A6E"/>
  </w:style>
  <w:style w:type="paragraph" w:styleId="Footer">
    <w:name w:val="footer"/>
    <w:basedOn w:val="Normal"/>
    <w:link w:val="FooterChar"/>
    <w:uiPriority w:val="99"/>
    <w:unhideWhenUsed/>
    <w:rsid w:val="006C7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A6E"/>
  </w:style>
  <w:style w:type="paragraph" w:styleId="ListParagraph">
    <w:name w:val="List Paragraph"/>
    <w:basedOn w:val="Normal"/>
    <w:uiPriority w:val="34"/>
    <w:qFormat/>
    <w:rsid w:val="00C252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0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C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Wesleyan Homes, Inc.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Ashton</dc:creator>
  <cp:keywords/>
  <dc:description/>
  <cp:lastModifiedBy>Ashlee MacGibbon</cp:lastModifiedBy>
  <cp:revision>3</cp:revision>
  <cp:lastPrinted>2020-12-16T20:31:00Z</cp:lastPrinted>
  <dcterms:created xsi:type="dcterms:W3CDTF">2021-03-10T16:31:00Z</dcterms:created>
  <dcterms:modified xsi:type="dcterms:W3CDTF">2021-03-19T17:04:00Z</dcterms:modified>
</cp:coreProperties>
</file>